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  <w:r>
        <w:rPr>
          <w:rStyle w:val="Ingen"/>
          <w:rFonts w:ascii="Myriad Pro" w:hAnsi="Myriad Pro"/>
          <w:sz w:val="24"/>
          <w:szCs w:val="24"/>
          <w:rtl w:val="0"/>
          <w:lang w:val="sv-SE"/>
        </w:rPr>
        <w:t>Xxxxxx</w:t>
      </w: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  <w:r>
        <w:rPr>
          <w:rStyle w:val="Ingen"/>
          <w:rFonts w:ascii="Myriad Pro" w:hAnsi="Myriad Pro"/>
          <w:sz w:val="24"/>
          <w:szCs w:val="24"/>
          <w:rtl w:val="0"/>
          <w:lang w:val="sv-SE"/>
        </w:rPr>
        <w:t>Xxxxx</w:t>
      </w:r>
    </w:p>
    <w:p>
      <w:pPr>
        <w:pStyle w:val="Body Text"/>
      </w:pPr>
      <w:r>
        <w:rPr>
          <w:rStyle w:val="Ingen"/>
          <w:rFonts w:ascii="Myriad Pro" w:cs="Myriad Pro" w:hAnsi="Myriad Pro" w:eastAsia="Myriad Pro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                                                                             </w:t>
    </w:r>
    <w:r>
      <w:drawing xmlns:a="http://schemas.openxmlformats.org/drawingml/2006/main">
        <wp:inline distT="0" distB="0" distL="0" distR="0">
          <wp:extent cx="1049980" cy="1049980"/>
          <wp:effectExtent l="0" t="0" r="0" b="0"/>
          <wp:docPr id="1073741826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80" cy="1049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sz w:val="18"/>
        <w:szCs w:val="18"/>
        <w:rtl w:val="0"/>
        <w:lang w:val="sv-SE"/>
      </w:rPr>
      <w:t xml:space="preserve">   Distrikt XXX</w:t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outline w:val="0"/>
        <w:color w:val="0433ff"/>
        <w:sz w:val="18"/>
        <w:szCs w:val="18"/>
        <w:u w:color="0433ff"/>
        <w:rtl w:val="0"/>
        <w:lang w:val="sv-SE"/>
        <w14:textFill>
          <w14:solidFill>
            <w14:srgbClr w14:val="0433FF"/>
          </w14:solidFill>
        </w14:textFill>
      </w:rPr>
      <w:t xml:space="preserve">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Myriad Pro" w:cs="Myriad Pro" w:hAnsi="Myriad Pro" w:eastAsia="Myriad Pro"/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